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-629920</wp:posOffset>
            </wp:positionV>
            <wp:extent cx="58420" cy="643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3989070</wp:posOffset>
            </wp:positionH>
            <wp:positionV relativeFrom="paragraph">
              <wp:posOffset>-629920</wp:posOffset>
            </wp:positionV>
            <wp:extent cx="58420" cy="643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748665</wp:posOffset>
            </wp:positionV>
            <wp:extent cx="6992620" cy="45383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538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2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Thomas Shundrawn A</w:t>
              </w:r>
            </w:hyperlink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60" w:type="dxa"/>
            <w:vAlign w:val="bottom"/>
            <w:gridSpan w:val="11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REINSURANCE GROUP OF AMERICA</w:t>
              </w:r>
            </w:hyperlink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0000EE"/>
            </w:tcBorders>
            <w:gridSpan w:val="3"/>
            <w:vMerge w:val="restart"/>
          </w:tcPr>
          <w:p>
            <w:pPr>
              <w:spacing w:after="0" w:line="214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FF"/>
                </w:rPr>
                <w:t>RGA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40" w:type="dxa"/>
            <w:vAlign w:val="bottom"/>
            <w:gridSpan w:val="3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16600 SWINGLEY RIDGE ROAD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6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8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CHESTERFIELD MO</w:t>
            </w: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63017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40" w:type="dxa"/>
            <w:vAlign w:val="bottom"/>
            <w:gridSpan w:val="3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74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7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4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8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80" w:type="dxa"/>
            <w:vAlign w:val="bottom"/>
            <w:gridSpan w:val="6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6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6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2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5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7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jc w:val="right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05/20/2026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817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4"/>
            <w:vMerge w:val="restart"/>
          </w:tcPr>
          <w:p>
            <w:pPr>
              <w:jc w:val="right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817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817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-2013585</wp:posOffset>
            </wp:positionV>
            <wp:extent cx="29210" cy="201866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18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phantom stock units convert 1 for 1 to common stock, based on fair market value.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Acquired pursuant to deferral of annual stock grant (817 shares) to independent directors for services performed as a director.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Director can elect to receive payment (1) upon retirement or (2) after a five or seven year deferral period.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Distributable upon director's retirement from the Board in accordance with distribution elections.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9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My Chi To,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4185920</wp:posOffset>
            </wp:positionH>
            <wp:positionV relativeFrom="paragraph">
              <wp:posOffset>-8255</wp:posOffset>
            </wp:positionV>
            <wp:extent cx="11734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34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4185920</wp:posOffset>
            </wp:positionH>
            <wp:positionV relativeFrom="paragraph">
              <wp:posOffset>-15240</wp:posOffset>
            </wp:positionV>
            <wp:extent cx="38036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3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05/22/2026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-1270</wp:posOffset>
            </wp:positionH>
            <wp:positionV relativeFrom="paragraph">
              <wp:posOffset>-1270</wp:posOffset>
            </wp:positionV>
            <wp:extent cx="48768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480" w:space="320"/>
            <w:col w:w="2280"/>
          </w:cols>
          <w:pgMar w:left="460" w:top="216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6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17894" TargetMode="External"/><Relationship Id="rId14" Type="http://schemas.openxmlformats.org/officeDocument/2006/relationships/hyperlink" Target="http://www.sec.gov/cgi-bin/browse-edgar?action=getcompany&amp;CIK=000089817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2026-05-22T17:16:32Z</dcterms:created>
  <dcterms:modified xsi:type="dcterms:W3CDTF">2026-05-22T17:16:32Z</dcterms:modified>
</cp:coreProperties>
</file>